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23" w:rsidRPr="00380523" w:rsidRDefault="00380523" w:rsidP="00380523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380523" w:rsidRPr="00380523" w:rsidRDefault="00380523" w:rsidP="00380523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>Processo nº 27</w:t>
      </w:r>
      <w:r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>7</w:t>
      </w: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>/2014 - CSDP</w:t>
      </w:r>
    </w:p>
    <w:p w:rsidR="00380523" w:rsidRPr="00380523" w:rsidRDefault="00380523" w:rsidP="00380523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 xml:space="preserve">Proponente: </w:t>
      </w:r>
      <w:r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>Conselheira Léa Cristina B. de Siqueira de V. Serra</w:t>
      </w:r>
    </w:p>
    <w:p w:rsidR="00380523" w:rsidRDefault="00380523" w:rsidP="00380523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>Assunto: Regulamentação d</w:t>
      </w:r>
      <w:r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>a suspensão dos prazos processuais, no período de 07 a 20 de janeiro de 2015.</w:t>
      </w:r>
    </w:p>
    <w:p w:rsidR="00380523" w:rsidRPr="00380523" w:rsidRDefault="00380523" w:rsidP="00380523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ab/>
      </w: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ab/>
        <w:t>EGRÉGIO CONSELHO SUPERIOR</w:t>
      </w: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 xml:space="preserve">                 </w:t>
      </w: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ab/>
        <w:t>RELATÓRIO</w:t>
      </w: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>I – DO PEDIDO</w:t>
      </w: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ab/>
      </w: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ab/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Mediante proposta de </w:t>
      </w:r>
      <w:r>
        <w:rPr>
          <w:rFonts w:ascii="Lucida Sans" w:eastAsia="Times New Roman" w:hAnsi="Lucida Sans" w:cs="Times New Roman"/>
          <w:sz w:val="24"/>
          <w:szCs w:val="24"/>
          <w:lang w:eastAsia="pt-BR"/>
        </w:rPr>
        <w:t>resolução que regulamenta a suspensão dos prazos processuais dos defensores públicos no período de 07 a 20 de janeiro de 2015, a</w:t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 Exm</w:t>
      </w:r>
      <w:r>
        <w:rPr>
          <w:rFonts w:ascii="Lucida Sans" w:eastAsia="Times New Roman" w:hAnsi="Lucida Sans" w:cs="Times New Roman"/>
          <w:sz w:val="24"/>
          <w:szCs w:val="24"/>
          <w:lang w:eastAsia="pt-BR"/>
        </w:rPr>
        <w:t>a</w:t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>. Senhor</w:t>
      </w:r>
      <w:r>
        <w:rPr>
          <w:rFonts w:ascii="Lucida Sans" w:eastAsia="Times New Roman" w:hAnsi="Lucida Sans" w:cs="Times New Roman"/>
          <w:sz w:val="24"/>
          <w:szCs w:val="24"/>
          <w:lang w:eastAsia="pt-BR"/>
        </w:rPr>
        <w:t>a</w:t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 </w:t>
      </w:r>
      <w:r>
        <w:rPr>
          <w:rFonts w:ascii="Lucida Sans" w:eastAsia="Times New Roman" w:hAnsi="Lucida Sans" w:cs="Times New Roman"/>
          <w:sz w:val="24"/>
          <w:szCs w:val="24"/>
          <w:lang w:eastAsia="pt-BR"/>
        </w:rPr>
        <w:t>Conselheira, representante da entrância especial</w:t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 Defensoria </w:t>
      </w:r>
      <w:r>
        <w:rPr>
          <w:rFonts w:ascii="Lucida Sans" w:eastAsia="Times New Roman" w:hAnsi="Lucida Sans" w:cs="Times New Roman"/>
          <w:sz w:val="24"/>
          <w:szCs w:val="24"/>
          <w:lang w:eastAsia="pt-BR"/>
        </w:rPr>
        <w:t>P</w:t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>ública, Dr</w:t>
      </w:r>
      <w:r>
        <w:rPr>
          <w:rFonts w:ascii="Lucida Sans" w:eastAsia="Times New Roman" w:hAnsi="Lucida Sans" w:cs="Times New Roman"/>
          <w:sz w:val="24"/>
          <w:szCs w:val="24"/>
          <w:lang w:eastAsia="pt-BR"/>
        </w:rPr>
        <w:t>a</w:t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. </w:t>
      </w: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>L</w:t>
      </w:r>
      <w:r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 xml:space="preserve">ÉA CRISTINA </w:t>
      </w:r>
      <w:proofErr w:type="gramStart"/>
      <w:r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>B.</w:t>
      </w:r>
      <w:proofErr w:type="gramEnd"/>
      <w:r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>DE SIQUEIRA DE V. SERRA</w:t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, apresenta proposta que visa regulamentar </w:t>
      </w:r>
      <w:r>
        <w:rPr>
          <w:rFonts w:ascii="Lucida Sans" w:eastAsia="Times New Roman" w:hAnsi="Lucida Sans" w:cs="Times New Roman"/>
          <w:sz w:val="24"/>
          <w:szCs w:val="24"/>
          <w:lang w:eastAsia="pt-BR"/>
        </w:rPr>
        <w:t>a suspensão dos prazos processuais, após</w:t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 o recesso natalino, que ocorrerá no período de </w:t>
      </w:r>
      <w:r>
        <w:rPr>
          <w:rFonts w:ascii="Lucida Sans" w:eastAsia="Times New Roman" w:hAnsi="Lucida Sans" w:cs="Times New Roman"/>
          <w:sz w:val="24"/>
          <w:szCs w:val="24"/>
          <w:lang w:eastAsia="pt-BR"/>
        </w:rPr>
        <w:t>07</w:t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 </w:t>
      </w:r>
      <w:r>
        <w:rPr>
          <w:rFonts w:ascii="Lucida Sans" w:eastAsia="Times New Roman" w:hAnsi="Lucida Sans" w:cs="Times New Roman"/>
          <w:sz w:val="24"/>
          <w:szCs w:val="24"/>
          <w:lang w:eastAsia="pt-BR"/>
        </w:rPr>
        <w:t>a 20 janeiro de 2015</w:t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>.</w:t>
      </w: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ab/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ab/>
      </w:r>
      <w:r>
        <w:rPr>
          <w:rFonts w:ascii="Lucida Sans" w:eastAsia="Times New Roman" w:hAnsi="Lucida Sans" w:cs="Times New Roman"/>
          <w:sz w:val="24"/>
          <w:szCs w:val="24"/>
          <w:lang w:eastAsia="pt-BR"/>
        </w:rPr>
        <w:t>A</w:t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 proponente ressalta que </w:t>
      </w:r>
      <w:r>
        <w:rPr>
          <w:rFonts w:ascii="Lucida Sans" w:eastAsia="Times New Roman" w:hAnsi="Lucida Sans" w:cs="Times New Roman"/>
          <w:sz w:val="24"/>
          <w:szCs w:val="24"/>
          <w:lang w:eastAsia="pt-BR"/>
        </w:rPr>
        <w:t>o mandado de segurança Coletivo ajuizado pela Associação dos Defensores Públi</w:t>
      </w:r>
      <w:r w:rsidR="00721BDA">
        <w:rPr>
          <w:rFonts w:ascii="Lucida Sans" w:eastAsia="Times New Roman" w:hAnsi="Lucida Sans" w:cs="Times New Roman"/>
          <w:sz w:val="24"/>
          <w:szCs w:val="24"/>
          <w:lang w:eastAsia="pt-BR"/>
        </w:rPr>
        <w:t>c</w:t>
      </w:r>
      <w:r>
        <w:rPr>
          <w:rFonts w:ascii="Lucida Sans" w:eastAsia="Times New Roman" w:hAnsi="Lucida Sans" w:cs="Times New Roman"/>
          <w:sz w:val="24"/>
          <w:szCs w:val="24"/>
          <w:lang w:eastAsia="pt-BR"/>
        </w:rPr>
        <w:t>os do Estado do Pará</w:t>
      </w:r>
      <w:r w:rsidR="00721BDA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 - ADPEP</w:t>
      </w:r>
      <w:r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, que tramitou pela 5ª vara do Juizado Federal, em sentença de mérito </w:t>
      </w:r>
      <w:r w:rsidR="00721BDA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desobrigou a vinculação dos Defensores com a Ordem dos Advogados do Pará – OAB/PA, e que por isso requer a suspensão dos prazos processuais dos Defensores Públicos de 1ª e 2ª </w:t>
      </w:r>
      <w:r w:rsidR="008F2ED4">
        <w:rPr>
          <w:rFonts w:ascii="Lucida Sans" w:eastAsia="Times New Roman" w:hAnsi="Lucida Sans" w:cs="Times New Roman"/>
          <w:sz w:val="24"/>
          <w:szCs w:val="24"/>
          <w:lang w:eastAsia="pt-BR"/>
        </w:rPr>
        <w:t>i</w:t>
      </w:r>
      <w:r w:rsidR="00721BDA">
        <w:rPr>
          <w:rFonts w:ascii="Lucida Sans" w:eastAsia="Times New Roman" w:hAnsi="Lucida Sans" w:cs="Times New Roman"/>
          <w:sz w:val="24"/>
          <w:szCs w:val="24"/>
          <w:lang w:eastAsia="pt-BR"/>
        </w:rPr>
        <w:t>nst</w:t>
      </w:r>
      <w:r w:rsidR="008F2ED4">
        <w:rPr>
          <w:rFonts w:ascii="Lucida Sans" w:eastAsia="Times New Roman" w:hAnsi="Lucida Sans" w:cs="Times New Roman"/>
          <w:sz w:val="24"/>
          <w:szCs w:val="24"/>
          <w:lang w:eastAsia="pt-BR"/>
        </w:rPr>
        <w:t>â</w:t>
      </w:r>
      <w:r w:rsidR="00721BDA">
        <w:rPr>
          <w:rFonts w:ascii="Lucida Sans" w:eastAsia="Times New Roman" w:hAnsi="Lucida Sans" w:cs="Times New Roman"/>
          <w:sz w:val="24"/>
          <w:szCs w:val="24"/>
          <w:lang w:eastAsia="pt-BR"/>
        </w:rPr>
        <w:t>ncia</w:t>
      </w:r>
      <w:r w:rsidR="008F2ED4">
        <w:rPr>
          <w:rFonts w:ascii="Lucida Sans" w:eastAsia="Times New Roman" w:hAnsi="Lucida Sans" w:cs="Times New Roman"/>
          <w:sz w:val="24"/>
          <w:szCs w:val="24"/>
          <w:lang w:eastAsia="pt-BR"/>
        </w:rPr>
        <w:t>s</w:t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>.</w:t>
      </w: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ab/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ab/>
      </w: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>II – DA ANÁLISE</w:t>
      </w: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</w:p>
    <w:p w:rsidR="00A40067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ab/>
      </w: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ab/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Senhores membros do Conselho, analisando a </w:t>
      </w:r>
      <w:r w:rsidR="00D36F33">
        <w:rPr>
          <w:rFonts w:ascii="Lucida Sans" w:eastAsia="Times New Roman" w:hAnsi="Lucida Sans" w:cs="Times New Roman"/>
          <w:sz w:val="24"/>
          <w:szCs w:val="24"/>
          <w:lang w:eastAsia="pt-BR"/>
        </w:rPr>
        <w:t>proposta, vejo como prejudicada tal medida, eis que não cabe a este Conselho suspender prazos processuais</w:t>
      </w:r>
      <w:r w:rsidR="0002770D">
        <w:rPr>
          <w:rFonts w:ascii="Lucida Sans" w:eastAsia="Times New Roman" w:hAnsi="Lucida Sans" w:cs="Times New Roman"/>
          <w:sz w:val="24"/>
          <w:szCs w:val="24"/>
          <w:lang w:eastAsia="pt-BR"/>
        </w:rPr>
        <w:t>. Os prazos processuais estão previstos na codificação geral da legislação pátria</w:t>
      </w:r>
      <w:r w:rsidR="00D36F33">
        <w:rPr>
          <w:rFonts w:ascii="Lucida Sans" w:eastAsia="Times New Roman" w:hAnsi="Lucida Sans" w:cs="Times New Roman"/>
          <w:sz w:val="24"/>
          <w:szCs w:val="24"/>
          <w:lang w:eastAsia="pt-BR"/>
        </w:rPr>
        <w:t>,</w:t>
      </w:r>
      <w:r w:rsidR="0002770D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 e sua suspensão somente poderá </w:t>
      </w:r>
      <w:r w:rsidR="00A40067">
        <w:rPr>
          <w:rFonts w:ascii="Lucida Sans" w:eastAsia="Times New Roman" w:hAnsi="Lucida Sans" w:cs="Times New Roman"/>
          <w:sz w:val="24"/>
          <w:szCs w:val="24"/>
          <w:lang w:eastAsia="pt-BR"/>
        </w:rPr>
        <w:t>praticada</w:t>
      </w:r>
      <w:r w:rsidR="0002770D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 pelos respectivos Tribunais </w:t>
      </w:r>
      <w:r w:rsidR="00A40067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a que se vinculam, e no caso em espécie o Tribunal de Justiça do Estado do Pará, atendendo reivindicação antiga da classe dos advogados, suspendeu os prazos processuais no período de 07 a 20 de janeiro de 2015, através da Portaria nº 3374/2014-GP, no entanto, diferente do recesso de fim de ano, que ocorre entre o dia 20 de dezembro de 2014 a 06 de janeiro de 2015, </w:t>
      </w:r>
      <w:r w:rsidR="00A40067" w:rsidRPr="00A40067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>não suspendeu o expediente forense</w:t>
      </w:r>
      <w:r w:rsidR="00A40067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>.</w:t>
      </w:r>
      <w:r w:rsidR="00A40067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 </w:t>
      </w:r>
    </w:p>
    <w:p w:rsidR="005B39DC" w:rsidRDefault="005B39DC" w:rsidP="00380523">
      <w:pPr>
        <w:spacing w:after="0" w:line="240" w:lineRule="auto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</w:p>
    <w:p w:rsidR="005B39DC" w:rsidRDefault="005B39DC" w:rsidP="00380523">
      <w:pPr>
        <w:spacing w:after="0" w:line="240" w:lineRule="auto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  <w:r>
        <w:rPr>
          <w:rFonts w:ascii="Lucida Sans" w:eastAsia="Times New Roman" w:hAnsi="Lucida Sans" w:cs="Times New Roman"/>
          <w:sz w:val="24"/>
          <w:szCs w:val="24"/>
          <w:lang w:eastAsia="pt-BR"/>
        </w:rPr>
        <w:lastRenderedPageBreak/>
        <w:tab/>
      </w:r>
      <w:r>
        <w:rPr>
          <w:rFonts w:ascii="Lucida Sans" w:eastAsia="Times New Roman" w:hAnsi="Lucida Sans" w:cs="Times New Roman"/>
          <w:sz w:val="24"/>
          <w:szCs w:val="24"/>
          <w:lang w:eastAsia="pt-BR"/>
        </w:rPr>
        <w:tab/>
        <w:t>Neste sentido, presume-se que o Tribunal de Justiça do Estado do Pará, com o fito de preservar a chamada “férias dos advogados” irá remarcar as audiência</w:t>
      </w:r>
      <w:r w:rsidR="00D03761">
        <w:rPr>
          <w:rFonts w:ascii="Lucida Sans" w:eastAsia="Times New Roman" w:hAnsi="Lucida Sans" w:cs="Times New Roman"/>
          <w:sz w:val="24"/>
          <w:szCs w:val="24"/>
          <w:lang w:eastAsia="pt-BR"/>
        </w:rPr>
        <w:t>s</w:t>
      </w:r>
      <w:r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 já designadas, ficando seus membros e servidores em atividade interna.</w:t>
      </w:r>
    </w:p>
    <w:p w:rsidR="00D03761" w:rsidRDefault="00D03761" w:rsidP="005B39DC">
      <w:pPr>
        <w:spacing w:after="0" w:line="240" w:lineRule="auto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</w:p>
    <w:p w:rsidR="00380523" w:rsidRPr="00380523" w:rsidRDefault="00A40067" w:rsidP="005B39DC">
      <w:pPr>
        <w:spacing w:after="0" w:line="240" w:lineRule="auto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  <w:r>
        <w:rPr>
          <w:rFonts w:ascii="Lucida Sans" w:eastAsia="Times New Roman" w:hAnsi="Lucida Sans" w:cs="Times New Roman"/>
          <w:sz w:val="24"/>
          <w:szCs w:val="24"/>
          <w:lang w:eastAsia="pt-BR"/>
        </w:rPr>
        <w:tab/>
      </w:r>
      <w:r>
        <w:rPr>
          <w:rFonts w:ascii="Lucida Sans" w:eastAsia="Times New Roman" w:hAnsi="Lucida Sans" w:cs="Times New Roman"/>
          <w:sz w:val="24"/>
          <w:szCs w:val="24"/>
          <w:lang w:eastAsia="pt-BR"/>
        </w:rPr>
        <w:tab/>
      </w:r>
    </w:p>
    <w:p w:rsidR="00380523" w:rsidRDefault="00380523" w:rsidP="00380523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>III – DO DIREITO</w:t>
      </w:r>
    </w:p>
    <w:p w:rsidR="00380523" w:rsidRPr="00380523" w:rsidRDefault="00380523" w:rsidP="00380523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</w:p>
    <w:p w:rsidR="005B39DC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ab/>
      </w: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ab/>
      </w:r>
      <w:r w:rsidR="005B39DC">
        <w:rPr>
          <w:rFonts w:ascii="Lucida Sans" w:eastAsia="Times New Roman" w:hAnsi="Lucida Sans" w:cs="Times New Roman"/>
          <w:sz w:val="24"/>
          <w:szCs w:val="24"/>
          <w:lang w:eastAsia="pt-BR"/>
        </w:rPr>
        <w:t>Não</w:t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 </w:t>
      </w:r>
      <w:r w:rsidR="005B39DC">
        <w:rPr>
          <w:rFonts w:ascii="Lucida Sans" w:eastAsia="Times New Roman" w:hAnsi="Lucida Sans" w:cs="Times New Roman"/>
          <w:sz w:val="24"/>
          <w:szCs w:val="24"/>
          <w:lang w:eastAsia="pt-BR"/>
        </w:rPr>
        <w:t>há como se discutir a legalidade da medida</w:t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 adotada pelo Tribunal de Justiça do Estado do Pará</w:t>
      </w:r>
      <w:r w:rsidR="005B39DC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, pois foge a nossa competência, no entanto é dever deste Conselho adotar medidas internas para a adequação de nossos serviços a esta suspensão dos prazos processuais.  </w:t>
      </w:r>
    </w:p>
    <w:p w:rsidR="005B39DC" w:rsidRDefault="005B39DC" w:rsidP="00380523">
      <w:pPr>
        <w:spacing w:after="0" w:line="240" w:lineRule="auto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</w:p>
    <w:p w:rsidR="00DF6A63" w:rsidRDefault="00DF6A63" w:rsidP="00380523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>IV – DO VOTO</w:t>
      </w:r>
    </w:p>
    <w:p w:rsidR="00380523" w:rsidRPr="00380523" w:rsidRDefault="00380523" w:rsidP="00380523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ab/>
      </w: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ab/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Apresentados os embasamentos legais expostos acima, este Conselheiro apresenta seu voto no sentido de que este Conselho deva </w:t>
      </w:r>
      <w:r w:rsidR="00DF6A63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rejeitar parcialmente a proposta na forma como foi redigida, mas aproveitá-la para adotar medidas internas, adequando os nossos serviços a esse alargamento dos prazos processuais, sugerindo inclusive, que se aproveite a medida para suspender o atendimento ao público nos núcleos da Capital, que serão remanejados para o novo prédio, onde irá funcionar a nova central de atendimento, ficando os demais núcleos da região metropolitana e do Interior </w:t>
      </w:r>
      <w:r w:rsidR="00D03761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do Estado </w:t>
      </w:r>
      <w:r w:rsidR="00DF6A63">
        <w:rPr>
          <w:rFonts w:ascii="Lucida Sans" w:eastAsia="Times New Roman" w:hAnsi="Lucida Sans" w:cs="Times New Roman"/>
          <w:sz w:val="24"/>
          <w:szCs w:val="24"/>
          <w:lang w:eastAsia="pt-BR"/>
        </w:rPr>
        <w:t>com o atendimento ao público</w:t>
      </w:r>
      <w:r w:rsidR="00D03761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 preservado</w:t>
      </w: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. </w:t>
      </w:r>
    </w:p>
    <w:p w:rsidR="00380523" w:rsidRPr="00380523" w:rsidRDefault="00380523" w:rsidP="00380523">
      <w:pPr>
        <w:spacing w:after="0" w:line="240" w:lineRule="auto"/>
        <w:jc w:val="both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ind w:left="708" w:firstLine="708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>É o voto.</w:t>
      </w:r>
    </w:p>
    <w:p w:rsidR="00380523" w:rsidRPr="00380523" w:rsidRDefault="00380523" w:rsidP="00380523">
      <w:pPr>
        <w:spacing w:after="0" w:line="240" w:lineRule="auto"/>
        <w:ind w:left="708" w:firstLine="708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ind w:left="708" w:firstLine="708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>Belém, 24 de novembro de 2014.</w:t>
      </w:r>
    </w:p>
    <w:p w:rsidR="00380523" w:rsidRPr="00380523" w:rsidRDefault="00380523" w:rsidP="00380523">
      <w:pPr>
        <w:spacing w:after="0" w:line="240" w:lineRule="auto"/>
        <w:ind w:left="708" w:firstLine="708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ind w:left="708" w:firstLine="708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ind w:left="709" w:firstLine="709"/>
        <w:jc w:val="both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b/>
          <w:sz w:val="24"/>
          <w:szCs w:val="24"/>
          <w:lang w:eastAsia="pt-BR"/>
        </w:rPr>
        <w:t>ANTONIO CARLOS DE ANDRADE MONTEIRO</w:t>
      </w:r>
    </w:p>
    <w:p w:rsidR="00380523" w:rsidRPr="00380523" w:rsidRDefault="00380523" w:rsidP="00380523">
      <w:pPr>
        <w:spacing w:after="0" w:line="240" w:lineRule="auto"/>
        <w:ind w:left="709" w:firstLine="709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                        Conselheiro Nato</w:t>
      </w:r>
    </w:p>
    <w:p w:rsidR="00380523" w:rsidRPr="00380523" w:rsidRDefault="00380523" w:rsidP="00380523">
      <w:pPr>
        <w:spacing w:after="0" w:line="240" w:lineRule="auto"/>
        <w:ind w:left="708" w:firstLine="708"/>
        <w:jc w:val="both"/>
        <w:rPr>
          <w:rFonts w:ascii="Lucida Sans" w:eastAsia="Times New Roman" w:hAnsi="Lucida Sans" w:cs="Times New Roman"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  <w:lang w:eastAsia="pt-BR"/>
        </w:rPr>
      </w:pPr>
    </w:p>
    <w:p w:rsidR="00380523" w:rsidRPr="00380523" w:rsidRDefault="00380523" w:rsidP="00380523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  <w:lang w:eastAsia="pt-BR"/>
        </w:rPr>
      </w:pPr>
      <w:r w:rsidRPr="00380523">
        <w:rPr>
          <w:rFonts w:ascii="Lucida Sans" w:eastAsia="Times New Roman" w:hAnsi="Lucida Sans" w:cs="Times New Roman"/>
          <w:sz w:val="24"/>
          <w:szCs w:val="24"/>
          <w:lang w:eastAsia="pt-BR"/>
        </w:rPr>
        <w:t xml:space="preserve">                     </w:t>
      </w:r>
    </w:p>
    <w:p w:rsidR="00380523" w:rsidRPr="00380523" w:rsidRDefault="00380523" w:rsidP="00380523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  <w:lang w:eastAsia="pt-BR"/>
        </w:rPr>
      </w:pPr>
    </w:p>
    <w:p w:rsidR="00AE5305" w:rsidRDefault="00AE5305"/>
    <w:sectPr w:rsidR="00AE5305" w:rsidSect="00D523FD">
      <w:headerReference w:type="default" r:id="rId5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FD" w:rsidRDefault="00D03761" w:rsidP="00D523FD">
    <w:pPr>
      <w:pStyle w:val="Cabealho"/>
      <w:jc w:val="center"/>
    </w:pPr>
    <w:r>
      <w:rPr>
        <w:noProof/>
      </w:rPr>
      <w:drawing>
        <wp:inline distT="0" distB="0" distL="0" distR="0" wp14:anchorId="2753ADCA" wp14:editId="503EE08B">
          <wp:extent cx="542925" cy="676275"/>
          <wp:effectExtent l="0" t="0" r="9525" b="9525"/>
          <wp:docPr id="1" name="Imagem 1" descr="brasão_p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p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3FD" w:rsidRPr="0037740A" w:rsidRDefault="00D03761" w:rsidP="00D523FD">
    <w:pPr>
      <w:pStyle w:val="Cabealho"/>
      <w:jc w:val="center"/>
      <w:rPr>
        <w:rFonts w:ascii="Arial" w:hAnsi="Arial" w:cs="Arial"/>
        <w:b/>
        <w:sz w:val="22"/>
        <w:szCs w:val="22"/>
      </w:rPr>
    </w:pPr>
    <w:r w:rsidRPr="0037740A">
      <w:rPr>
        <w:rFonts w:ascii="Arial" w:hAnsi="Arial" w:cs="Arial"/>
        <w:b/>
        <w:sz w:val="22"/>
        <w:szCs w:val="22"/>
      </w:rPr>
      <w:t>ESTADO DO PARÁ</w:t>
    </w:r>
  </w:p>
  <w:p w:rsidR="00D523FD" w:rsidRDefault="00D03761" w:rsidP="00D523FD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DEFENSORIA PÚBLICA</w:t>
    </w:r>
  </w:p>
  <w:p w:rsidR="00B50BFC" w:rsidRPr="0037740A" w:rsidRDefault="00D03761" w:rsidP="00D523FD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CORREGEDORIA</w:t>
    </w:r>
    <w:r>
      <w:rPr>
        <w:rFonts w:ascii="Arial" w:hAnsi="Arial" w:cs="Arial"/>
        <w:b/>
        <w:sz w:val="22"/>
        <w:szCs w:val="22"/>
      </w:rPr>
      <w:t xml:space="preserve"> GERAL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23"/>
    <w:rsid w:val="0002770D"/>
    <w:rsid w:val="00380523"/>
    <w:rsid w:val="005B39DC"/>
    <w:rsid w:val="00721BDA"/>
    <w:rsid w:val="008F2ED4"/>
    <w:rsid w:val="00A40067"/>
    <w:rsid w:val="00AE5305"/>
    <w:rsid w:val="00D03761"/>
    <w:rsid w:val="00D36F33"/>
    <w:rsid w:val="00D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052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805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052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805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Monteiro</dc:creator>
  <cp:lastModifiedBy>Antonio Monteiro</cp:lastModifiedBy>
  <cp:revision>3</cp:revision>
  <dcterms:created xsi:type="dcterms:W3CDTF">2009-01-01T02:29:00Z</dcterms:created>
  <dcterms:modified xsi:type="dcterms:W3CDTF">2009-01-01T03:32:00Z</dcterms:modified>
</cp:coreProperties>
</file>