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C5" w:rsidRPr="000618C5" w:rsidRDefault="000618C5" w:rsidP="000618C5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0618C5">
        <w:rPr>
          <w:rStyle w:val="Forte"/>
          <w:rFonts w:ascii="Verdana" w:hAnsi="Verdana"/>
          <w:color w:val="000000"/>
          <w:sz w:val="20"/>
          <w:szCs w:val="20"/>
          <w:lang w:val="pt-BR"/>
        </w:rPr>
        <w:t>ENUNCIADO CNCG Nº 01/2014.</w:t>
      </w:r>
    </w:p>
    <w:p w:rsidR="000618C5" w:rsidRPr="000618C5" w:rsidRDefault="000618C5" w:rsidP="000618C5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0618C5">
        <w:rPr>
          <w:rStyle w:val="Forte"/>
          <w:rFonts w:ascii="Verdana" w:hAnsi="Verdana"/>
          <w:color w:val="000000"/>
          <w:sz w:val="18"/>
          <w:szCs w:val="18"/>
          <w:lang w:val="pt-BR"/>
        </w:rPr>
        <w:t> </w:t>
      </w:r>
    </w:p>
    <w:p w:rsidR="000618C5" w:rsidRPr="000618C5" w:rsidRDefault="000618C5" w:rsidP="000618C5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0618C5">
        <w:rPr>
          <w:rStyle w:val="Forte"/>
          <w:rFonts w:ascii="Verdana" w:hAnsi="Verdana"/>
          <w:color w:val="000000"/>
          <w:sz w:val="20"/>
          <w:szCs w:val="20"/>
          <w:lang w:val="pt-BR"/>
        </w:rPr>
        <w:t>A independência funcional assegurada a qualquer membro da Defensoria Pública deve ser arguida em favor dos interesses dos Assistidos e não somente da pessoa do Defensor Público. A assistência jurídica aos hipossuficientes, nos termos da lei, não deve ser somente gratuita, mas integral e em todos os graus de jurisdição.</w:t>
      </w:r>
    </w:p>
    <w:p w:rsidR="000618C5" w:rsidRPr="000618C5" w:rsidRDefault="000618C5" w:rsidP="000618C5">
      <w:pPr>
        <w:pStyle w:val="NormalWeb"/>
        <w:shd w:val="clear" w:color="auto" w:fill="FFFFFF"/>
        <w:spacing w:before="0" w:beforeAutospacing="0" w:after="200" w:afterAutospacing="0"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0618C5">
        <w:rPr>
          <w:rFonts w:ascii="Verdana" w:hAnsi="Verdana"/>
          <w:color w:val="000000"/>
          <w:sz w:val="18"/>
          <w:szCs w:val="18"/>
          <w:lang w:val="pt-BR"/>
        </w:rPr>
        <w:t>(Aprovado na VIII Reunião Ordinária do CNCG – Manaus-AM, 10 de abril de 2014</w:t>
      </w:r>
      <w:proofErr w:type="gramStart"/>
      <w:r w:rsidRPr="000618C5">
        <w:rPr>
          <w:rFonts w:ascii="Verdana" w:hAnsi="Verdana"/>
          <w:color w:val="000000"/>
          <w:sz w:val="18"/>
          <w:szCs w:val="18"/>
          <w:lang w:val="pt-BR"/>
        </w:rPr>
        <w:t>)</w:t>
      </w:r>
      <w:proofErr w:type="gramEnd"/>
    </w:p>
    <w:p w:rsidR="000618C5" w:rsidRPr="000618C5" w:rsidRDefault="000618C5" w:rsidP="000618C5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0618C5">
        <w:rPr>
          <w:rFonts w:ascii="Verdana" w:hAnsi="Verdana"/>
          <w:color w:val="000000"/>
          <w:sz w:val="18"/>
          <w:szCs w:val="18"/>
          <w:lang w:val="pt-BR"/>
        </w:rPr>
        <w:t> </w:t>
      </w:r>
    </w:p>
    <w:p w:rsidR="000618C5" w:rsidRPr="000618C5" w:rsidRDefault="000618C5" w:rsidP="000618C5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0618C5">
        <w:rPr>
          <w:rFonts w:ascii="Verdana" w:hAnsi="Verdana"/>
          <w:color w:val="000000"/>
          <w:sz w:val="18"/>
          <w:szCs w:val="18"/>
          <w:lang w:val="pt-BR"/>
        </w:rPr>
        <w:t> </w:t>
      </w:r>
    </w:p>
    <w:p w:rsidR="00002519" w:rsidRPr="000618C5" w:rsidRDefault="00002519">
      <w:pPr>
        <w:rPr>
          <w:lang w:val="pt-BR"/>
        </w:rPr>
      </w:pPr>
      <w:bookmarkStart w:id="0" w:name="_GoBack"/>
      <w:bookmarkEnd w:id="0"/>
    </w:p>
    <w:sectPr w:rsidR="00002519" w:rsidRPr="0006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C5"/>
    <w:rsid w:val="00002519"/>
    <w:rsid w:val="000618C5"/>
    <w:rsid w:val="001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61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61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Defensoria</cp:lastModifiedBy>
  <cp:revision>1</cp:revision>
  <dcterms:created xsi:type="dcterms:W3CDTF">2015-03-12T20:24:00Z</dcterms:created>
  <dcterms:modified xsi:type="dcterms:W3CDTF">2015-03-12T20:24:00Z</dcterms:modified>
</cp:coreProperties>
</file>